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0FE9876A" w:rsidR="00FA480D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</w:t>
      </w:r>
      <w:r w:rsidR="004D7264">
        <w:rPr>
          <w:rFonts w:ascii="Times New Roman" w:hAnsi="Times New Roman" w:cs="Times New Roman"/>
          <w:sz w:val="28"/>
          <w:szCs w:val="28"/>
          <w:lang w:val="sr-Cyrl-RS"/>
        </w:rPr>
        <w:t>МЕДИЦИНСКО</w:t>
      </w:r>
      <w:r w:rsidR="005245B7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4D7264">
        <w:rPr>
          <w:rFonts w:ascii="Times New Roman" w:hAnsi="Times New Roman" w:cs="Times New Roman"/>
          <w:sz w:val="28"/>
          <w:szCs w:val="28"/>
          <w:lang w:val="sr-Cyrl-RS"/>
        </w:rPr>
        <w:t>-ЛАБОРАТОРИЈСКИ ТЕХНОЛОГ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у школској 202</w:t>
      </w:r>
      <w:r w:rsidR="003532B3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3532B3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471726D8" w14:textId="2ECEDF13" w:rsidR="003F38E0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Клиничко-лабораторијске технологије</w:t>
      </w:r>
    </w:p>
    <w:p w14:paraId="298E8319" w14:textId="1198F850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Основи молекуларне биологије</w:t>
      </w:r>
    </w:p>
    <w:p w14:paraId="7CEE97BA" w14:textId="5B695E84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Цитолошка дијагностика</w:t>
      </w:r>
    </w:p>
    <w:p w14:paraId="13093E61" w14:textId="606005B1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Трансфузиона медицина</w:t>
      </w:r>
    </w:p>
    <w:p w14:paraId="1BF7D773" w14:textId="6A06EB9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Медицинска токсикологија</w:t>
      </w:r>
    </w:p>
    <w:p w14:paraId="0E6E6599" w14:textId="309CBA10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="00C01BF0" w:rsidRPr="00C01BF0">
        <w:rPr>
          <w:rFonts w:ascii="Times New Roman" w:hAnsi="Times New Roman" w:cs="Times New Roman"/>
          <w:sz w:val="28"/>
          <w:szCs w:val="28"/>
          <w:lang w:val="sr-Cyrl-RS"/>
        </w:rPr>
        <w:t>Дијагностичка микробиологија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2898F5A0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="000B10F9" w:rsidRPr="000B10F9">
        <w:rPr>
          <w:rFonts w:ascii="Times New Roman" w:hAnsi="Times New Roman" w:cs="Times New Roman"/>
          <w:sz w:val="28"/>
          <w:szCs w:val="28"/>
          <w:lang w:val="sr-Cyrl-RS"/>
        </w:rPr>
        <w:t>Клиничка хемија</w:t>
      </w:r>
    </w:p>
    <w:p w14:paraId="0D379FF8" w14:textId="667CF2C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="000B10F9" w:rsidRPr="000B10F9">
        <w:rPr>
          <w:rFonts w:ascii="Times New Roman" w:hAnsi="Times New Roman" w:cs="Times New Roman"/>
          <w:sz w:val="28"/>
          <w:szCs w:val="28"/>
          <w:lang w:val="sr-Cyrl-RS"/>
        </w:rPr>
        <w:t>Антиген антитело реакције у лабораторијској дијагностици</w:t>
      </w:r>
    </w:p>
    <w:p w14:paraId="78419CEC" w14:textId="37367333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="000B10F9" w:rsidRPr="000B10F9">
        <w:rPr>
          <w:rFonts w:ascii="Times New Roman" w:hAnsi="Times New Roman" w:cs="Times New Roman"/>
          <w:sz w:val="28"/>
          <w:szCs w:val="28"/>
          <w:lang w:val="sr-Cyrl-RS"/>
        </w:rPr>
        <w:t>Нуклеарна медицина у лабораторијској дијагностици</w:t>
      </w:r>
    </w:p>
    <w:p w14:paraId="136EE806" w14:textId="748D491C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0B10F9" w:rsidRPr="000B10F9">
        <w:rPr>
          <w:rFonts w:ascii="Times New Roman" w:hAnsi="Times New Roman" w:cs="Times New Roman"/>
          <w:sz w:val="28"/>
          <w:szCs w:val="28"/>
          <w:lang w:val="sr-Cyrl-RS"/>
        </w:rPr>
        <w:t>In vitro технике у лабораторијској дијагностици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6527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74C03"/>
    <w:rsid w:val="000B10F9"/>
    <w:rsid w:val="000F204E"/>
    <w:rsid w:val="003532B3"/>
    <w:rsid w:val="003F38E0"/>
    <w:rsid w:val="004D7264"/>
    <w:rsid w:val="005245B7"/>
    <w:rsid w:val="0056277F"/>
    <w:rsid w:val="00572EC9"/>
    <w:rsid w:val="005F566B"/>
    <w:rsid w:val="00652770"/>
    <w:rsid w:val="006D14FB"/>
    <w:rsid w:val="008A2BBC"/>
    <w:rsid w:val="008C1AD8"/>
    <w:rsid w:val="008F6F9A"/>
    <w:rsid w:val="00B003B5"/>
    <w:rsid w:val="00BA40CA"/>
    <w:rsid w:val="00C01BF0"/>
    <w:rsid w:val="00C70A24"/>
    <w:rsid w:val="00D46FB1"/>
    <w:rsid w:val="00DD52D6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7</cp:revision>
  <cp:lastPrinted>2023-10-16T12:10:00Z</cp:lastPrinted>
  <dcterms:created xsi:type="dcterms:W3CDTF">2024-09-16T07:35:00Z</dcterms:created>
  <dcterms:modified xsi:type="dcterms:W3CDTF">2026-10-02T10:21:00Z</dcterms:modified>
</cp:coreProperties>
</file>