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2" w:rsidRPr="00BE25F6" w:rsidRDefault="005C3B54" w:rsidP="00D51050">
      <w:pPr>
        <w:jc w:val="center"/>
        <w:rPr>
          <w:b/>
          <w:sz w:val="28"/>
          <w:lang w:val="sr-Latn-CS"/>
        </w:rPr>
      </w:pPr>
      <w:r w:rsidRPr="00BE25F6">
        <w:rPr>
          <w:b/>
          <w:sz w:val="28"/>
          <w:lang w:val="sr-Latn-CS"/>
        </w:rPr>
        <w:t xml:space="preserve">Raspored nastave za </w:t>
      </w:r>
      <w:r w:rsidR="00BD28FE" w:rsidRPr="00BE25F6">
        <w:rPr>
          <w:b/>
          <w:sz w:val="28"/>
          <w:lang w:val="sr-Latn-CS"/>
        </w:rPr>
        <w:t>četvrtu</w:t>
      </w:r>
      <w:r w:rsidRPr="00BE25F6">
        <w:rPr>
          <w:b/>
          <w:sz w:val="28"/>
          <w:lang w:val="sr-Latn-CS"/>
        </w:rPr>
        <w:t xml:space="preserve"> god</w:t>
      </w:r>
      <w:r w:rsidR="00EE2F21">
        <w:rPr>
          <w:b/>
          <w:sz w:val="28"/>
          <w:lang w:val="sr-Latn-CS"/>
        </w:rPr>
        <w:t>inu OAS Sestrinstvo školska 202</w:t>
      </w:r>
      <w:r w:rsidR="00D96249">
        <w:rPr>
          <w:b/>
          <w:sz w:val="28"/>
          <w:lang w:val="sr-Latn-CS"/>
        </w:rPr>
        <w:t>3</w:t>
      </w:r>
      <w:r w:rsidR="00FA349B" w:rsidRPr="00BE25F6">
        <w:rPr>
          <w:b/>
          <w:sz w:val="28"/>
          <w:lang w:val="sr-Latn-CS"/>
        </w:rPr>
        <w:t>/20</w:t>
      </w:r>
      <w:r w:rsidR="00EE2F21">
        <w:rPr>
          <w:b/>
          <w:sz w:val="28"/>
          <w:lang w:val="sr-Latn-CS"/>
        </w:rPr>
        <w:t>2</w:t>
      </w:r>
      <w:r w:rsidR="00D96249">
        <w:rPr>
          <w:b/>
          <w:sz w:val="28"/>
          <w:lang w:val="sr-Latn-CS"/>
        </w:rPr>
        <w:t>4</w:t>
      </w:r>
    </w:p>
    <w:p w:rsidR="00D51050" w:rsidRPr="00D51050" w:rsidRDefault="00D51050" w:rsidP="00D51050">
      <w:pPr>
        <w:jc w:val="center"/>
        <w:rPr>
          <w:sz w:val="28"/>
          <w:lang w:val="sr-Latn-CS"/>
        </w:rPr>
      </w:pPr>
    </w:p>
    <w:tbl>
      <w:tblPr>
        <w:tblStyle w:val="ColorfulList-Accent4"/>
        <w:tblW w:w="0" w:type="auto"/>
        <w:tblLook w:val="04A0"/>
      </w:tblPr>
      <w:tblGrid>
        <w:gridCol w:w="2582"/>
        <w:gridCol w:w="2606"/>
        <w:gridCol w:w="2592"/>
        <w:gridCol w:w="2604"/>
        <w:gridCol w:w="2576"/>
      </w:tblGrid>
      <w:tr w:rsidR="005C3B54" w:rsidRPr="00D51050" w:rsidTr="00DB0312">
        <w:trPr>
          <w:cnfStyle w:val="100000000000"/>
        </w:trPr>
        <w:tc>
          <w:tcPr>
            <w:cnfStyle w:val="001000000000"/>
            <w:tcW w:w="2582" w:type="dxa"/>
          </w:tcPr>
          <w:p w:rsidR="005C3B54" w:rsidRPr="00D51050" w:rsidRDefault="005C3B54">
            <w:pPr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Ponedeljak</w:t>
            </w:r>
          </w:p>
        </w:tc>
        <w:tc>
          <w:tcPr>
            <w:tcW w:w="2606" w:type="dxa"/>
          </w:tcPr>
          <w:p w:rsidR="005C3B54" w:rsidRPr="00D51050" w:rsidRDefault="005C3B54">
            <w:pPr>
              <w:cnfStyle w:val="100000000000"/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Utorak</w:t>
            </w:r>
          </w:p>
        </w:tc>
        <w:tc>
          <w:tcPr>
            <w:tcW w:w="2592" w:type="dxa"/>
          </w:tcPr>
          <w:p w:rsidR="005C3B54" w:rsidRPr="00D51050" w:rsidRDefault="005C3B54">
            <w:pPr>
              <w:cnfStyle w:val="100000000000"/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Sreda</w:t>
            </w:r>
          </w:p>
        </w:tc>
        <w:tc>
          <w:tcPr>
            <w:tcW w:w="2604" w:type="dxa"/>
          </w:tcPr>
          <w:p w:rsidR="005C3B54" w:rsidRPr="00D51050" w:rsidRDefault="005C3B54">
            <w:pPr>
              <w:cnfStyle w:val="100000000000"/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Četvrtak</w:t>
            </w:r>
          </w:p>
        </w:tc>
        <w:tc>
          <w:tcPr>
            <w:tcW w:w="2576" w:type="dxa"/>
          </w:tcPr>
          <w:p w:rsidR="005C3B54" w:rsidRPr="00D51050" w:rsidRDefault="005C3B54">
            <w:pPr>
              <w:cnfStyle w:val="100000000000"/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Petak</w:t>
            </w:r>
          </w:p>
        </w:tc>
      </w:tr>
      <w:tr w:rsidR="00DB0312" w:rsidRPr="00D51050" w:rsidTr="00DB0312">
        <w:trPr>
          <w:cnfStyle w:val="000000100000"/>
        </w:trPr>
        <w:tc>
          <w:tcPr>
            <w:cnfStyle w:val="001000000000"/>
            <w:tcW w:w="2582" w:type="dxa"/>
            <w:vMerge w:val="restart"/>
          </w:tcPr>
          <w:p w:rsidR="00DB0312" w:rsidRDefault="00DB0312">
            <w:pPr>
              <w:rPr>
                <w:b w:val="0"/>
                <w:sz w:val="28"/>
              </w:rPr>
            </w:pPr>
          </w:p>
          <w:p w:rsidR="00654F07" w:rsidRDefault="00654F07">
            <w:pPr>
              <w:rPr>
                <w:b w:val="0"/>
                <w:sz w:val="28"/>
              </w:rPr>
            </w:pPr>
          </w:p>
          <w:p w:rsidR="00654F07" w:rsidRPr="00654F07" w:rsidRDefault="00654F0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10.30-12.00</w:t>
            </w:r>
            <w:r w:rsidRPr="00D51050">
              <w:rPr>
                <w:sz w:val="28"/>
                <w:lang w:val="sr-Latn-CS"/>
              </w:rPr>
              <w:t xml:space="preserve"> </w:t>
            </w:r>
            <w:r w:rsidRPr="00654F07">
              <w:rPr>
                <w:b w:val="0"/>
                <w:sz w:val="28"/>
                <w:lang w:val="sr-Latn-CS"/>
              </w:rPr>
              <w:t xml:space="preserve">Bolničke infekcije </w:t>
            </w:r>
            <w:r w:rsidR="00013714">
              <w:rPr>
                <w:b w:val="0"/>
                <w:sz w:val="28"/>
              </w:rPr>
              <w:t>(</w:t>
            </w:r>
            <w:proofErr w:type="spellStart"/>
            <w:r w:rsidR="00013714">
              <w:rPr>
                <w:b w:val="0"/>
                <w:sz w:val="28"/>
              </w:rPr>
              <w:t>Institut</w:t>
            </w:r>
            <w:proofErr w:type="spellEnd"/>
            <w:r w:rsidR="00013714">
              <w:rPr>
                <w:b w:val="0"/>
                <w:sz w:val="28"/>
              </w:rPr>
              <w:t xml:space="preserve"> </w:t>
            </w:r>
            <w:proofErr w:type="spellStart"/>
            <w:r w:rsidR="00013714">
              <w:rPr>
                <w:b w:val="0"/>
                <w:sz w:val="28"/>
              </w:rPr>
              <w:t>za</w:t>
            </w:r>
            <w:proofErr w:type="spellEnd"/>
            <w:r w:rsidR="00013714">
              <w:rPr>
                <w:b w:val="0"/>
                <w:sz w:val="28"/>
              </w:rPr>
              <w:t xml:space="preserve"> </w:t>
            </w:r>
            <w:proofErr w:type="spellStart"/>
            <w:r w:rsidR="00013714">
              <w:rPr>
                <w:b w:val="0"/>
                <w:sz w:val="28"/>
              </w:rPr>
              <w:t>epidemiologiju</w:t>
            </w:r>
            <w:proofErr w:type="spellEnd"/>
            <w:r w:rsidR="00013714">
              <w:rPr>
                <w:b w:val="0"/>
                <w:sz w:val="28"/>
              </w:rPr>
              <w:t>)</w:t>
            </w:r>
          </w:p>
        </w:tc>
        <w:tc>
          <w:tcPr>
            <w:tcW w:w="2606" w:type="dxa"/>
          </w:tcPr>
          <w:p w:rsidR="00DB0312" w:rsidRPr="00D51050" w:rsidRDefault="00DB0312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592" w:type="dxa"/>
          </w:tcPr>
          <w:p w:rsidR="00DB0312" w:rsidRPr="00D51050" w:rsidRDefault="00DB0312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604" w:type="dxa"/>
            <w:vMerge w:val="restart"/>
          </w:tcPr>
          <w:p w:rsidR="00DB0312" w:rsidRPr="00A15CFD" w:rsidRDefault="00DB0312" w:rsidP="0020414C">
            <w:pPr>
              <w:cnfStyle w:val="000000100000"/>
              <w:rPr>
                <w:sz w:val="28"/>
              </w:rPr>
            </w:pPr>
          </w:p>
          <w:p w:rsidR="00DB0312" w:rsidRPr="00A15CFD" w:rsidRDefault="00DB0312" w:rsidP="0020414C">
            <w:pPr>
              <w:cnfStyle w:val="000000100000"/>
              <w:rPr>
                <w:sz w:val="28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DB0312" w:rsidRPr="00D51050" w:rsidRDefault="00DB0312" w:rsidP="008837D0">
            <w:pPr>
              <w:cnfStyle w:val="000000100000"/>
              <w:rPr>
                <w:sz w:val="28"/>
                <w:lang w:val="sr-Latn-CS"/>
              </w:rPr>
            </w:pPr>
            <w:r w:rsidRPr="00D51050">
              <w:rPr>
                <w:sz w:val="28"/>
                <w:lang w:val="sr-Latn-CS"/>
              </w:rPr>
              <w:t>IZBORNA NASTAVA</w:t>
            </w:r>
          </w:p>
        </w:tc>
      </w:tr>
      <w:tr w:rsidR="00DB0312" w:rsidRPr="00D51050" w:rsidTr="00EE2F21">
        <w:trPr>
          <w:trHeight w:val="2067"/>
        </w:trPr>
        <w:tc>
          <w:tcPr>
            <w:cnfStyle w:val="001000000000"/>
            <w:tcW w:w="2582" w:type="dxa"/>
            <w:vMerge/>
          </w:tcPr>
          <w:p w:rsidR="00DB0312" w:rsidRPr="00D51050" w:rsidRDefault="00DB0312" w:rsidP="004B723A">
            <w:pPr>
              <w:rPr>
                <w:b w:val="0"/>
                <w:i/>
                <w:sz w:val="28"/>
                <w:lang w:val="sr-Latn-CS"/>
              </w:rPr>
            </w:pPr>
          </w:p>
        </w:tc>
        <w:tc>
          <w:tcPr>
            <w:tcW w:w="2606" w:type="dxa"/>
          </w:tcPr>
          <w:p w:rsidR="00DB0312" w:rsidRPr="00D51050" w:rsidRDefault="00654F07">
            <w:pPr>
              <w:cnfStyle w:val="000000000000"/>
              <w:rPr>
                <w:sz w:val="28"/>
                <w:lang w:val="sr-Latn-CS"/>
              </w:rPr>
            </w:pPr>
            <w:r w:rsidRPr="00E47623">
              <w:rPr>
                <w:sz w:val="28"/>
                <w:lang w:val="fr-FR"/>
              </w:rPr>
              <w:t>9</w:t>
            </w:r>
            <w:r>
              <w:rPr>
                <w:sz w:val="28"/>
                <w:lang w:val="sr-Latn-CS"/>
              </w:rPr>
              <w:t>.00-1</w:t>
            </w:r>
            <w:r w:rsidRPr="00E47623">
              <w:rPr>
                <w:sz w:val="28"/>
                <w:lang w:val="fr-FR"/>
              </w:rPr>
              <w:t>0</w:t>
            </w:r>
            <w:r w:rsidR="00DB0312" w:rsidRPr="00D51050">
              <w:rPr>
                <w:sz w:val="28"/>
                <w:lang w:val="sr-Latn-CS"/>
              </w:rPr>
              <w:t xml:space="preserve">.30 Uvod u istraživački rad </w:t>
            </w:r>
            <w:r w:rsidR="00013714" w:rsidRPr="00013714">
              <w:rPr>
                <w:sz w:val="28"/>
                <w:lang w:val="sr-Latn-CS"/>
              </w:rPr>
              <w:t>(Institut za epidemiologiju)</w:t>
            </w:r>
          </w:p>
        </w:tc>
        <w:tc>
          <w:tcPr>
            <w:tcW w:w="2592" w:type="dxa"/>
          </w:tcPr>
          <w:p w:rsidR="00DB0312" w:rsidRPr="00D51050" w:rsidRDefault="00DB0312" w:rsidP="006F3EBB">
            <w:pPr>
              <w:cnfStyle w:val="000000000000"/>
              <w:rPr>
                <w:sz w:val="28"/>
                <w:lang w:val="sr-Latn-CS"/>
              </w:rPr>
            </w:pPr>
            <w:r w:rsidRPr="00D51050">
              <w:rPr>
                <w:sz w:val="28"/>
                <w:lang w:val="sr-Latn-CS"/>
              </w:rPr>
              <w:t xml:space="preserve">10.30-12.30 Medicinska rehabilitacija </w:t>
            </w:r>
          </w:p>
        </w:tc>
        <w:tc>
          <w:tcPr>
            <w:tcW w:w="2604" w:type="dxa"/>
            <w:vMerge/>
          </w:tcPr>
          <w:p w:rsidR="00DB0312" w:rsidRPr="00D51050" w:rsidRDefault="00DB0312" w:rsidP="0020414C">
            <w:pPr>
              <w:cnfStyle w:val="000000000000"/>
              <w:rPr>
                <w:sz w:val="28"/>
                <w:lang w:val="sr-Latn-CS"/>
              </w:rPr>
            </w:pPr>
          </w:p>
        </w:tc>
        <w:tc>
          <w:tcPr>
            <w:tcW w:w="2576" w:type="dxa"/>
            <w:vMerge/>
            <w:shd w:val="clear" w:color="auto" w:fill="E5DFEC" w:themeFill="accent4" w:themeFillTint="33"/>
          </w:tcPr>
          <w:p w:rsidR="00DB0312" w:rsidRPr="00D51050" w:rsidRDefault="00DB0312">
            <w:pPr>
              <w:cnfStyle w:val="000000000000"/>
              <w:rPr>
                <w:sz w:val="28"/>
                <w:lang w:val="sr-Latn-CS"/>
              </w:rPr>
            </w:pPr>
          </w:p>
        </w:tc>
      </w:tr>
      <w:tr w:rsidR="00D11C39" w:rsidRPr="00D51050" w:rsidTr="00EE2F21">
        <w:trPr>
          <w:cnfStyle w:val="000000100000"/>
          <w:trHeight w:val="2565"/>
        </w:trPr>
        <w:tc>
          <w:tcPr>
            <w:cnfStyle w:val="001000000000"/>
            <w:tcW w:w="2582" w:type="dxa"/>
            <w:vMerge/>
          </w:tcPr>
          <w:p w:rsidR="00D11C39" w:rsidRPr="00D51050" w:rsidRDefault="00D11C39">
            <w:pPr>
              <w:rPr>
                <w:b w:val="0"/>
                <w:sz w:val="28"/>
                <w:lang w:val="sr-Latn-CS"/>
              </w:rPr>
            </w:pPr>
          </w:p>
        </w:tc>
        <w:tc>
          <w:tcPr>
            <w:tcW w:w="2606" w:type="dxa"/>
          </w:tcPr>
          <w:p w:rsidR="00D11C39" w:rsidRPr="00D51050" w:rsidRDefault="001D615A" w:rsidP="00235B2D">
            <w:pPr>
              <w:cnfStyle w:val="00000010000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</w:t>
            </w:r>
            <w:r w:rsidR="00654F07">
              <w:rPr>
                <w:sz w:val="28"/>
                <w:lang w:val="sr-Latn-CS"/>
              </w:rPr>
              <w:t>.</w:t>
            </w:r>
            <w:r>
              <w:rPr>
                <w:sz w:val="28"/>
                <w:lang w:val="sr-Latn-CS"/>
              </w:rPr>
              <w:t>3</w:t>
            </w:r>
            <w:r w:rsidR="00654F07">
              <w:rPr>
                <w:sz w:val="28"/>
                <w:lang w:val="sr-Latn-CS"/>
              </w:rPr>
              <w:t>0</w:t>
            </w:r>
            <w:r w:rsidR="00D11C39" w:rsidRPr="00D51050">
              <w:rPr>
                <w:sz w:val="28"/>
                <w:lang w:val="sr-Latn-CS"/>
              </w:rPr>
              <w:t xml:space="preserve"> </w:t>
            </w:r>
            <w:r w:rsidR="00654F07" w:rsidRPr="00D11C39">
              <w:rPr>
                <w:sz w:val="28"/>
                <w:lang w:val="sr-Latn-CS"/>
              </w:rPr>
              <w:t>Ginekologija i akušerstvo i zdravstvena nega žene i novorođenčeta</w:t>
            </w:r>
            <w:r w:rsidR="00025EE6">
              <w:rPr>
                <w:sz w:val="28"/>
                <w:lang w:val="sr-Latn-CS"/>
              </w:rPr>
              <w:t xml:space="preserve"> (predavanja GAK Višegradska)</w:t>
            </w:r>
            <w:r w:rsidR="00025EE6">
              <w:rPr>
                <w:lang w:val="sr-Latn-CS"/>
              </w:rPr>
              <w:t xml:space="preserve"> *</w:t>
            </w:r>
          </w:p>
        </w:tc>
        <w:tc>
          <w:tcPr>
            <w:tcW w:w="2592" w:type="dxa"/>
          </w:tcPr>
          <w:p w:rsidR="00121076" w:rsidRDefault="00121076" w:rsidP="008D0B12">
            <w:pPr>
              <w:cnfStyle w:val="000000100000"/>
              <w:rPr>
                <w:sz w:val="28"/>
                <w:lang w:val="sr-Latn-CS"/>
              </w:rPr>
            </w:pPr>
          </w:p>
          <w:p w:rsidR="00121076" w:rsidRDefault="00121076" w:rsidP="008D0B12">
            <w:pPr>
              <w:cnfStyle w:val="000000100000"/>
              <w:rPr>
                <w:sz w:val="28"/>
                <w:lang w:val="sr-Latn-CS"/>
              </w:rPr>
            </w:pPr>
          </w:p>
          <w:p w:rsidR="00121076" w:rsidRDefault="00121076" w:rsidP="008D0B12">
            <w:pPr>
              <w:cnfStyle w:val="000000100000"/>
              <w:rPr>
                <w:sz w:val="28"/>
                <w:lang w:val="sr-Latn-CS"/>
              </w:rPr>
            </w:pPr>
          </w:p>
          <w:p w:rsidR="00121076" w:rsidRDefault="00121076" w:rsidP="008D0B12">
            <w:pPr>
              <w:cnfStyle w:val="000000100000"/>
              <w:rPr>
                <w:sz w:val="28"/>
                <w:lang w:val="sr-Latn-CS"/>
              </w:rPr>
            </w:pPr>
          </w:p>
          <w:p w:rsidR="00D11C39" w:rsidRPr="00D51050" w:rsidRDefault="00D11C39" w:rsidP="006F3EBB">
            <w:pPr>
              <w:cnfStyle w:val="000000100000"/>
              <w:rPr>
                <w:sz w:val="28"/>
                <w:lang w:val="sr-Latn-CS"/>
              </w:rPr>
            </w:pPr>
            <w:r w:rsidRPr="00D51050">
              <w:rPr>
                <w:sz w:val="28"/>
                <w:lang w:val="sr-Latn-CS"/>
              </w:rPr>
              <w:t>13.00-14.30 Metodika nastave</w:t>
            </w:r>
            <w:r w:rsidR="00013714">
              <w:rPr>
                <w:sz w:val="28"/>
                <w:lang w:val="sr-Latn-CS"/>
              </w:rPr>
              <w:t xml:space="preserve"> (Institut za histologiju)</w:t>
            </w:r>
          </w:p>
        </w:tc>
        <w:tc>
          <w:tcPr>
            <w:tcW w:w="2604" w:type="dxa"/>
          </w:tcPr>
          <w:p w:rsidR="00D11C39" w:rsidRPr="00D11C39" w:rsidRDefault="00D11C39" w:rsidP="00520BC5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576" w:type="dxa"/>
            <w:vMerge/>
          </w:tcPr>
          <w:p w:rsidR="00D11C39" w:rsidRPr="00D51050" w:rsidRDefault="00D11C39">
            <w:pPr>
              <w:cnfStyle w:val="000000100000"/>
              <w:rPr>
                <w:sz w:val="28"/>
                <w:lang w:val="sr-Latn-CS"/>
              </w:rPr>
            </w:pPr>
          </w:p>
        </w:tc>
      </w:tr>
      <w:tr w:rsidR="0026573B" w:rsidRPr="00D51050" w:rsidTr="00DB0312">
        <w:tc>
          <w:tcPr>
            <w:cnfStyle w:val="001000000000"/>
            <w:tcW w:w="2582" w:type="dxa"/>
          </w:tcPr>
          <w:p w:rsidR="0026573B" w:rsidRPr="00D51050" w:rsidRDefault="0026573B">
            <w:pPr>
              <w:rPr>
                <w:sz w:val="28"/>
                <w:lang w:val="sr-Latn-CS"/>
              </w:rPr>
            </w:pPr>
          </w:p>
        </w:tc>
        <w:tc>
          <w:tcPr>
            <w:tcW w:w="2606" w:type="dxa"/>
          </w:tcPr>
          <w:p w:rsidR="0026573B" w:rsidRPr="00D51050" w:rsidRDefault="0026573B">
            <w:pPr>
              <w:cnfStyle w:val="000000000000"/>
              <w:rPr>
                <w:sz w:val="28"/>
                <w:lang w:val="sr-Latn-CS"/>
              </w:rPr>
            </w:pPr>
          </w:p>
        </w:tc>
        <w:tc>
          <w:tcPr>
            <w:tcW w:w="2592" w:type="dxa"/>
          </w:tcPr>
          <w:p w:rsidR="0026573B" w:rsidRPr="00D51050" w:rsidRDefault="0026573B">
            <w:pPr>
              <w:cnfStyle w:val="000000000000"/>
              <w:rPr>
                <w:sz w:val="28"/>
                <w:lang w:val="sr-Latn-CS"/>
              </w:rPr>
            </w:pPr>
          </w:p>
        </w:tc>
        <w:tc>
          <w:tcPr>
            <w:tcW w:w="2604" w:type="dxa"/>
          </w:tcPr>
          <w:p w:rsidR="0026573B" w:rsidRPr="00D51050" w:rsidRDefault="00AF04C5" w:rsidP="006F3EBB">
            <w:pPr>
              <w:cnfStyle w:val="00000000000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</w:t>
            </w:r>
            <w:r w:rsidR="004B5C31">
              <w:rPr>
                <w:sz w:val="28"/>
                <w:lang w:val="sr-Latn-CS"/>
              </w:rPr>
              <w:t>6</w:t>
            </w:r>
            <w:r>
              <w:rPr>
                <w:sz w:val="28"/>
                <w:lang w:val="sr-Latn-CS"/>
              </w:rPr>
              <w:t>.00-1</w:t>
            </w:r>
            <w:r w:rsidR="004B5C31">
              <w:rPr>
                <w:sz w:val="28"/>
                <w:lang w:val="sr-Latn-CS"/>
              </w:rPr>
              <w:t>7</w:t>
            </w:r>
            <w:r>
              <w:rPr>
                <w:sz w:val="28"/>
                <w:lang w:val="sr-Latn-CS"/>
              </w:rPr>
              <w:t xml:space="preserve">.30 Osnove javnog zdravlja </w:t>
            </w:r>
            <w:r w:rsidR="00013714">
              <w:rPr>
                <w:sz w:val="28"/>
                <w:lang w:val="sr-Latn-CS"/>
              </w:rPr>
              <w:t>(Institut za socijalnu medicinu)</w:t>
            </w:r>
          </w:p>
        </w:tc>
        <w:tc>
          <w:tcPr>
            <w:tcW w:w="2576" w:type="dxa"/>
            <w:shd w:val="clear" w:color="auto" w:fill="E5DFEC" w:themeFill="accent4" w:themeFillTint="33"/>
          </w:tcPr>
          <w:p w:rsidR="0026573B" w:rsidRPr="00D51050" w:rsidRDefault="0026573B" w:rsidP="00047044">
            <w:pPr>
              <w:cnfStyle w:val="000000000000"/>
              <w:rPr>
                <w:sz w:val="28"/>
                <w:lang w:val="sr-Latn-CS"/>
              </w:rPr>
            </w:pPr>
          </w:p>
        </w:tc>
      </w:tr>
      <w:tr w:rsidR="0026573B" w:rsidRPr="00D51050" w:rsidTr="00DB0312">
        <w:trPr>
          <w:cnfStyle w:val="000000100000"/>
        </w:trPr>
        <w:tc>
          <w:tcPr>
            <w:cnfStyle w:val="001000000000"/>
            <w:tcW w:w="2582" w:type="dxa"/>
          </w:tcPr>
          <w:p w:rsidR="0026573B" w:rsidRPr="00D51050" w:rsidRDefault="0026573B">
            <w:pPr>
              <w:rPr>
                <w:sz w:val="28"/>
                <w:lang w:val="sr-Latn-CS"/>
              </w:rPr>
            </w:pPr>
          </w:p>
        </w:tc>
        <w:tc>
          <w:tcPr>
            <w:tcW w:w="2606" w:type="dxa"/>
          </w:tcPr>
          <w:p w:rsidR="0026573B" w:rsidRPr="00D51050" w:rsidRDefault="0026573B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592" w:type="dxa"/>
          </w:tcPr>
          <w:p w:rsidR="0026573B" w:rsidRPr="00D51050" w:rsidRDefault="0026573B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604" w:type="dxa"/>
          </w:tcPr>
          <w:p w:rsidR="0026573B" w:rsidRPr="00D51050" w:rsidRDefault="0026573B" w:rsidP="00664742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576" w:type="dxa"/>
          </w:tcPr>
          <w:p w:rsidR="0026573B" w:rsidRPr="00D51050" w:rsidRDefault="0026573B" w:rsidP="00047044">
            <w:pPr>
              <w:cnfStyle w:val="000000100000"/>
              <w:rPr>
                <w:sz w:val="28"/>
                <w:lang w:val="sr-Latn-CS"/>
              </w:rPr>
            </w:pPr>
          </w:p>
        </w:tc>
      </w:tr>
      <w:tr w:rsidR="0026573B" w:rsidTr="00DB0312">
        <w:tc>
          <w:tcPr>
            <w:cnfStyle w:val="001000000000"/>
            <w:tcW w:w="2582" w:type="dxa"/>
          </w:tcPr>
          <w:p w:rsidR="0026573B" w:rsidRDefault="0026573B">
            <w:pPr>
              <w:rPr>
                <w:lang w:val="sr-Latn-CS"/>
              </w:rPr>
            </w:pPr>
          </w:p>
        </w:tc>
        <w:tc>
          <w:tcPr>
            <w:tcW w:w="2606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592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604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576" w:type="dxa"/>
          </w:tcPr>
          <w:p w:rsidR="0026573B" w:rsidRDefault="0026573B" w:rsidP="0026573B">
            <w:pPr>
              <w:cnfStyle w:val="000000000000"/>
              <w:rPr>
                <w:lang w:val="sr-Latn-CS"/>
              </w:rPr>
            </w:pPr>
          </w:p>
        </w:tc>
      </w:tr>
    </w:tbl>
    <w:p w:rsidR="005C3B54" w:rsidRPr="00EE2F21" w:rsidRDefault="00025EE6" w:rsidP="00EE2F21">
      <w:pPr>
        <w:rPr>
          <w:lang w:val="sr-Latn-CS"/>
        </w:rPr>
      </w:pPr>
      <w:r>
        <w:rPr>
          <w:lang w:val="sr-Latn-CS"/>
        </w:rPr>
        <w:t>*Studenti se javl</w:t>
      </w:r>
      <w:r w:rsidR="006E2E16">
        <w:rPr>
          <w:lang w:val="sr-Latn-CS"/>
        </w:rPr>
        <w:t>jaju prof. dr Miroslavi Gojnić D</w:t>
      </w:r>
      <w:r>
        <w:rPr>
          <w:lang w:val="sr-Latn-CS"/>
        </w:rPr>
        <w:t>ugalić (GAK Višegradska), na prvom predavanju će dobiti detaljan raspored vežbi</w:t>
      </w:r>
    </w:p>
    <w:sectPr w:rsidR="005C3B54" w:rsidRPr="00EE2F21" w:rsidSect="005C3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3F3"/>
    <w:multiLevelType w:val="hybridMultilevel"/>
    <w:tmpl w:val="3E209E06"/>
    <w:lvl w:ilvl="0" w:tplc="6D92FB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1250"/>
    <w:multiLevelType w:val="hybridMultilevel"/>
    <w:tmpl w:val="6602E56E"/>
    <w:lvl w:ilvl="0" w:tplc="F82C3B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AGITEyMzIxMLc0MDSyUdpeDU4uLM/DyQAuNaAK0C03csAAAA"/>
  </w:docVars>
  <w:rsids>
    <w:rsidRoot w:val="005C3B54"/>
    <w:rsid w:val="00013714"/>
    <w:rsid w:val="00025EE6"/>
    <w:rsid w:val="000C2DD7"/>
    <w:rsid w:val="000C5174"/>
    <w:rsid w:val="00121076"/>
    <w:rsid w:val="001A34A2"/>
    <w:rsid w:val="001D615A"/>
    <w:rsid w:val="001F1A40"/>
    <w:rsid w:val="00212247"/>
    <w:rsid w:val="00235B2D"/>
    <w:rsid w:val="0026573B"/>
    <w:rsid w:val="002A2C87"/>
    <w:rsid w:val="0045131C"/>
    <w:rsid w:val="00493460"/>
    <w:rsid w:val="004B5C31"/>
    <w:rsid w:val="004B723A"/>
    <w:rsid w:val="00520BC5"/>
    <w:rsid w:val="005C20D6"/>
    <w:rsid w:val="005C3B54"/>
    <w:rsid w:val="0061403B"/>
    <w:rsid w:val="00654F07"/>
    <w:rsid w:val="00664742"/>
    <w:rsid w:val="006E2E16"/>
    <w:rsid w:val="006F3EBB"/>
    <w:rsid w:val="007435EE"/>
    <w:rsid w:val="007F4291"/>
    <w:rsid w:val="008361C0"/>
    <w:rsid w:val="008D0B12"/>
    <w:rsid w:val="008D4E40"/>
    <w:rsid w:val="008D6DC6"/>
    <w:rsid w:val="008E7C9B"/>
    <w:rsid w:val="009366AB"/>
    <w:rsid w:val="00942AFB"/>
    <w:rsid w:val="00A153EC"/>
    <w:rsid w:val="00A15CFD"/>
    <w:rsid w:val="00AA64D9"/>
    <w:rsid w:val="00AD36DD"/>
    <w:rsid w:val="00AF04C5"/>
    <w:rsid w:val="00B04B19"/>
    <w:rsid w:val="00B40DFE"/>
    <w:rsid w:val="00B5532E"/>
    <w:rsid w:val="00BD28FE"/>
    <w:rsid w:val="00BE25F6"/>
    <w:rsid w:val="00C52C02"/>
    <w:rsid w:val="00C607C1"/>
    <w:rsid w:val="00C81231"/>
    <w:rsid w:val="00C90B39"/>
    <w:rsid w:val="00CA0A1C"/>
    <w:rsid w:val="00D11C39"/>
    <w:rsid w:val="00D37088"/>
    <w:rsid w:val="00D51050"/>
    <w:rsid w:val="00D72242"/>
    <w:rsid w:val="00D91A01"/>
    <w:rsid w:val="00D96249"/>
    <w:rsid w:val="00DB0312"/>
    <w:rsid w:val="00E47623"/>
    <w:rsid w:val="00EE2F21"/>
    <w:rsid w:val="00F17CCD"/>
    <w:rsid w:val="00F45FAF"/>
    <w:rsid w:val="00F74BC0"/>
    <w:rsid w:val="00FA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72"/>
    <w:rsid w:val="005C3B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2022-09-15T08:43:00Z</cp:lastPrinted>
  <dcterms:created xsi:type="dcterms:W3CDTF">2023-09-25T10:34:00Z</dcterms:created>
  <dcterms:modified xsi:type="dcterms:W3CDTF">2023-09-25T10:34:00Z</dcterms:modified>
</cp:coreProperties>
</file>